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B5B" w:rsidP="00AE7B5B" w:rsidRDefault="00236608" w14:paraId="1A3C7D8B" w14:textId="75A9384E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hAnsiTheme="majorBidi" w:eastAsiaTheme="minorEastAsia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hAnsiTheme="majorBidi" w:eastAsiaTheme="minorEastAsia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:rsidR="00236608" w:rsidP="00236608" w:rsidRDefault="00236608" w14:paraId="794A5BD2" w14:textId="77777777">
      <w:pPr>
        <w:pStyle w:val="Default"/>
        <w:jc w:val="center"/>
        <w:rPr>
          <w:b/>
          <w:sz w:val="22"/>
          <w:szCs w:val="22"/>
          <w:u w:val="single"/>
        </w:rPr>
      </w:pPr>
    </w:p>
    <w:p w:rsidRPr="00AE7B5B" w:rsidR="00236608" w:rsidP="00EB7321" w:rsidRDefault="00236608" w14:paraId="34B17942" w14:textId="1B0B04E4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DC44E4">
        <w:rPr>
          <w:b/>
          <w:sz w:val="22"/>
          <w:szCs w:val="22"/>
          <w:u w:val="single"/>
        </w:rPr>
        <w:t>Draft g</w:t>
      </w:r>
      <w:r w:rsidR="00E2476B">
        <w:rPr>
          <w:b/>
          <w:sz w:val="22"/>
          <w:szCs w:val="22"/>
          <w:u w:val="single"/>
        </w:rPr>
        <w:t xml:space="preserve">uidance for updating national biodiversity strategies and action plans in light of the post-2020 global biodiversity framework </w:t>
      </w:r>
      <w:r w:rsidR="009A6B72">
        <w:rPr>
          <w:b/>
          <w:sz w:val="22"/>
          <w:szCs w:val="22"/>
          <w:u w:val="single"/>
        </w:rPr>
        <w:t xml:space="preserve">contained in </w:t>
      </w:r>
      <w:r w:rsidRPr="009A6B72" w:rsidR="009A6B72">
        <w:rPr>
          <w:b/>
          <w:sz w:val="22"/>
          <w:szCs w:val="22"/>
          <w:u w:val="single"/>
        </w:rPr>
        <w:t>CBD/SBI/3/11/ADD</w:t>
      </w:r>
      <w:r w:rsidR="00DC44E4">
        <w:rPr>
          <w:b/>
          <w:sz w:val="22"/>
          <w:szCs w:val="22"/>
          <w:u w:val="single"/>
        </w:rPr>
        <w:t xml:space="preserve"> 4</w:t>
      </w:r>
    </w:p>
    <w:p w:rsidRPr="00532BBA" w:rsidR="00236608" w:rsidP="00236608" w:rsidRDefault="00236608" w14:paraId="17859718" w14:textId="61B6B513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Pr="000C0B6C" w:rsidR="00236608" w:rsidTr="7EF5BBDD" w14:paraId="1FFC346E" w14:textId="77777777">
        <w:trPr>
          <w:trHeight w:val="737"/>
        </w:trPr>
        <w:tc>
          <w:tcPr>
            <w:tcW w:w="9558" w:type="dxa"/>
            <w:gridSpan w:val="2"/>
            <w:tcMar/>
            <w:vAlign w:val="center"/>
          </w:tcPr>
          <w:p w:rsidRPr="000C0B6C" w:rsidR="00236608" w:rsidP="00AE7B5B" w:rsidRDefault="009C30DA" w14:paraId="7B023D72" w14:textId="32B9BE0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hAnsiTheme="majorBidi" w:eastAsiaTheme="minorEastAsia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Pr="000C0B6C" w:rsidR="00B662AF" w:rsidTr="7EF5BBDD" w14:paraId="19F85FA6" w14:textId="77777777">
        <w:trPr>
          <w:trHeight w:val="1367"/>
        </w:trPr>
        <w:tc>
          <w:tcPr>
            <w:tcW w:w="4133" w:type="dxa"/>
            <w:tcMar/>
          </w:tcPr>
          <w:p w:rsidRPr="000C0B6C" w:rsidR="00B662AF" w:rsidP="009A6B72" w:rsidRDefault="00B662AF" w14:paraId="06F5B580" w14:textId="4C916EB4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25" w:type="dxa"/>
            <w:tcMar/>
          </w:tcPr>
          <w:p w:rsidRPr="000C0B6C" w:rsidR="00B662AF" w:rsidP="008A3A9F" w:rsidRDefault="00B662AF" w14:paraId="1B40A4A0" w14:textId="560DF809">
            <w:r>
              <w:t xml:space="preserve">Guidance for updating national biodiversity strategies and action plans in light of the post-2020 global biodiversity framework, contained in the document CBD/SBI/3/11/Add.4 which includes a draft version of Annex A to CBD/SBI/3/CRP.5. </w:t>
            </w:r>
          </w:p>
        </w:tc>
      </w:tr>
      <w:tr w:rsidRPr="000C0B6C" w:rsidR="00236608" w:rsidTr="7EF5BBDD" w14:paraId="6598FBAB" w14:textId="77777777">
        <w:trPr>
          <w:trHeight w:val="233"/>
        </w:trPr>
        <w:tc>
          <w:tcPr>
            <w:tcW w:w="9558" w:type="dxa"/>
            <w:gridSpan w:val="2"/>
            <w:shd w:val="clear" w:color="auto" w:fill="C0C0C0"/>
            <w:tcMar/>
          </w:tcPr>
          <w:p w:rsidRPr="00AE7B5B" w:rsidR="00236608" w:rsidP="00AE7B5B" w:rsidRDefault="00236608" w14:paraId="297416BC" w14:textId="77777777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Pr="000C0B6C" w:rsidR="00236608" w:rsidTr="7EF5BBDD" w14:paraId="212CCDF4" w14:textId="77777777">
        <w:trPr>
          <w:trHeight w:val="270"/>
        </w:trPr>
        <w:tc>
          <w:tcPr>
            <w:tcW w:w="4133" w:type="dxa"/>
            <w:tcMar/>
          </w:tcPr>
          <w:p w:rsidRPr="000C0B6C" w:rsidR="00236608" w:rsidP="009A6B72" w:rsidRDefault="00236608" w14:paraId="13CBB394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  <w:tcMar/>
          </w:tcPr>
          <w:p w:rsidRPr="000C0B6C" w:rsidR="00236608" w:rsidP="009A6B72" w:rsidRDefault="00E46B86" w14:paraId="08B4F522" w14:textId="2D62F4A7">
            <w:r>
              <w:t xml:space="preserve">Torres </w:t>
            </w:r>
          </w:p>
        </w:tc>
      </w:tr>
      <w:tr w:rsidRPr="000C0B6C" w:rsidR="00236608" w:rsidTr="7EF5BBDD" w14:paraId="70478EC8" w14:textId="77777777">
        <w:trPr>
          <w:trHeight w:val="270"/>
        </w:trPr>
        <w:tc>
          <w:tcPr>
            <w:tcW w:w="4133" w:type="dxa"/>
            <w:tcMar/>
          </w:tcPr>
          <w:p w:rsidRPr="000C0B6C" w:rsidR="00236608" w:rsidP="009A6B72" w:rsidRDefault="00236608" w14:paraId="4EE5D0BF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  <w:tcMar/>
          </w:tcPr>
          <w:p w:rsidRPr="000C0B6C" w:rsidR="00236608" w:rsidP="009A6B72" w:rsidRDefault="00E46B86" w14:paraId="618617AF" w14:textId="2593E696">
            <w:r>
              <w:t>Constanza</w:t>
            </w:r>
          </w:p>
        </w:tc>
      </w:tr>
      <w:tr w:rsidRPr="000C0B6C" w:rsidR="00236608" w:rsidTr="7EF5BBDD" w14:paraId="60004B01" w14:textId="77777777">
        <w:trPr>
          <w:trHeight w:val="280"/>
        </w:trPr>
        <w:tc>
          <w:tcPr>
            <w:tcW w:w="4133" w:type="dxa"/>
            <w:tcMar/>
          </w:tcPr>
          <w:p w:rsidRPr="000C0B6C" w:rsidR="00236608" w:rsidP="009A6B72" w:rsidRDefault="00236608" w14:paraId="043D7251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  <w:tcMar/>
          </w:tcPr>
          <w:p w:rsidRPr="000C0B6C" w:rsidR="00236608" w:rsidP="009A6B72" w:rsidRDefault="00236608" w14:paraId="44573104" w14:textId="77777777"/>
        </w:tc>
      </w:tr>
      <w:tr w:rsidRPr="000C0B6C" w:rsidR="00236608" w:rsidTr="7EF5BBDD" w14:paraId="41DAE210" w14:textId="77777777">
        <w:trPr>
          <w:trHeight w:val="270"/>
        </w:trPr>
        <w:tc>
          <w:tcPr>
            <w:tcW w:w="4133" w:type="dxa"/>
            <w:tcMar/>
          </w:tcPr>
          <w:p w:rsidRPr="000C0B6C" w:rsidR="00236608" w:rsidP="009A6B72" w:rsidRDefault="00236608" w14:paraId="064A5C6E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  <w:tcMar/>
          </w:tcPr>
          <w:p w:rsidRPr="000C0B6C" w:rsidR="00236608" w:rsidP="009A6B72" w:rsidRDefault="00E46B86" w14:paraId="6DC88D1F" w14:textId="738F3008">
            <w:r>
              <w:t>Business for Nature</w:t>
            </w:r>
          </w:p>
        </w:tc>
      </w:tr>
      <w:tr w:rsidRPr="000C0B6C" w:rsidR="00236608" w:rsidTr="7EF5BBDD" w14:paraId="19EAFF8D" w14:textId="77777777">
        <w:trPr>
          <w:trHeight w:val="280"/>
        </w:trPr>
        <w:tc>
          <w:tcPr>
            <w:tcW w:w="4133" w:type="dxa"/>
            <w:tcMar/>
          </w:tcPr>
          <w:p w:rsidRPr="000C0B6C" w:rsidR="00236608" w:rsidP="009A6B72" w:rsidRDefault="00236608" w14:paraId="051F46C6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  <w:tcMar/>
          </w:tcPr>
          <w:p w:rsidRPr="00D35466" w:rsidR="00236608" w:rsidP="009A6B72" w:rsidRDefault="00D35466" w14:paraId="1BEACDEF" w14:textId="12DA8BCE">
            <w:pPr>
              <w:rPr>
                <w:lang w:val="en-MX"/>
              </w:rPr>
            </w:pPr>
            <w:r w:rsidRPr="00D35466">
              <w:rPr>
                <w:lang w:val="en-MX"/>
              </w:rPr>
              <w:t>WBCSD, Avenue du Bouchet 2bis, 1209 Genève, Switzerland</w:t>
            </w:r>
          </w:p>
        </w:tc>
      </w:tr>
      <w:tr w:rsidRPr="000C0B6C" w:rsidR="00236608" w:rsidTr="7EF5BBDD" w14:paraId="3310BC30" w14:textId="77777777">
        <w:trPr>
          <w:trHeight w:val="270"/>
        </w:trPr>
        <w:tc>
          <w:tcPr>
            <w:tcW w:w="4133" w:type="dxa"/>
            <w:tcMar/>
          </w:tcPr>
          <w:p w:rsidRPr="000C0B6C" w:rsidR="00236608" w:rsidP="009A6B72" w:rsidRDefault="00236608" w14:paraId="675A80C3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  <w:tcMar/>
          </w:tcPr>
          <w:p w:rsidRPr="000C0B6C" w:rsidR="00236608" w:rsidP="009A6B72" w:rsidRDefault="00E46B86" w14:paraId="160AB00E" w14:textId="2F2D9264">
            <w:r>
              <w:t>Geneva</w:t>
            </w:r>
          </w:p>
        </w:tc>
      </w:tr>
      <w:tr w:rsidRPr="000C0B6C" w:rsidR="00236608" w:rsidTr="7EF5BBDD" w14:paraId="0303D967" w14:textId="77777777">
        <w:trPr>
          <w:trHeight w:val="280"/>
        </w:trPr>
        <w:tc>
          <w:tcPr>
            <w:tcW w:w="4133" w:type="dxa"/>
            <w:tcMar/>
          </w:tcPr>
          <w:p w:rsidRPr="000C0B6C" w:rsidR="00236608" w:rsidP="009A6B72" w:rsidRDefault="00236608" w14:paraId="241052A2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  <w:tcMar/>
          </w:tcPr>
          <w:p w:rsidRPr="000C0B6C" w:rsidR="00236608" w:rsidP="009A6B72" w:rsidRDefault="00E46B86" w14:paraId="213ED87C" w14:textId="1D7687D7">
            <w:r>
              <w:t>Switzerland</w:t>
            </w:r>
          </w:p>
        </w:tc>
      </w:tr>
      <w:tr w:rsidRPr="000C0B6C" w:rsidR="00236608" w:rsidTr="7EF5BBDD" w14:paraId="1112C88B" w14:textId="77777777">
        <w:trPr>
          <w:trHeight w:val="270"/>
        </w:trPr>
        <w:tc>
          <w:tcPr>
            <w:tcW w:w="4133" w:type="dxa"/>
            <w:tcMar/>
          </w:tcPr>
          <w:p w:rsidRPr="000C0B6C" w:rsidR="00236608" w:rsidP="009A6B72" w:rsidRDefault="00236608" w14:paraId="45B7FB6A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  <w:tcMar/>
          </w:tcPr>
          <w:p w:rsidRPr="000C0B6C" w:rsidR="00236608" w:rsidP="009A6B72" w:rsidRDefault="008759AA" w14:paraId="3E34F7CA" w14:textId="15FCE533">
            <w:r>
              <w:t>1209</w:t>
            </w:r>
          </w:p>
        </w:tc>
      </w:tr>
      <w:tr w:rsidRPr="000C0B6C" w:rsidR="00236608" w:rsidTr="7EF5BBDD" w14:paraId="64A916DC" w14:textId="77777777">
        <w:trPr>
          <w:trHeight w:val="270"/>
        </w:trPr>
        <w:tc>
          <w:tcPr>
            <w:tcW w:w="4133" w:type="dxa"/>
            <w:tcMar/>
          </w:tcPr>
          <w:p w:rsidRPr="000C0B6C" w:rsidR="00236608" w:rsidP="009A6B72" w:rsidRDefault="00236608" w14:paraId="18A42CE7" w14:textId="777777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  <w:tcMar/>
          </w:tcPr>
          <w:p w:rsidRPr="000C0B6C" w:rsidR="00236608" w:rsidP="009A6B72" w:rsidRDefault="001A269D" w14:paraId="6D5B5A6E" w14:textId="52522314">
            <w:r>
              <w:t>+52 1 4433720931</w:t>
            </w:r>
          </w:p>
        </w:tc>
      </w:tr>
      <w:tr w:rsidRPr="000C0B6C" w:rsidR="00236608" w:rsidTr="7EF5BBDD" w14:paraId="7C74835B" w14:textId="77777777">
        <w:trPr>
          <w:trHeight w:val="233"/>
        </w:trPr>
        <w:tc>
          <w:tcPr>
            <w:tcW w:w="4133" w:type="dxa"/>
            <w:tcMar/>
          </w:tcPr>
          <w:p w:rsidRPr="000C0B6C" w:rsidR="00236608" w:rsidP="009A6B72" w:rsidRDefault="00236608" w14:paraId="45DEDB26" w14:textId="77777777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  <w:tcMar/>
          </w:tcPr>
          <w:p w:rsidRPr="000C0B6C" w:rsidR="00236608" w:rsidP="009A6B72" w:rsidRDefault="001A269D" w14:paraId="118A29DB" w14:textId="1741B749">
            <w:r>
              <w:t>Constanza.torres@businessfornature.org</w:t>
            </w:r>
          </w:p>
        </w:tc>
      </w:tr>
      <w:tr w:rsidRPr="000C0B6C" w:rsidR="00414EDF" w:rsidTr="7EF5BBDD" w14:paraId="5BF8E06D" w14:textId="77777777">
        <w:trPr>
          <w:trHeight w:val="233"/>
        </w:trPr>
        <w:tc>
          <w:tcPr>
            <w:tcW w:w="9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802404" w:rsidR="00414EDF" w:rsidP="00414EDF" w:rsidRDefault="00414EDF" w14:paraId="4C0E4EFB" w14:textId="5D5AD572">
            <w:pPr>
              <w:jc w:val="center"/>
              <w:rPr>
                <w:b/>
                <w:bCs/>
              </w:rPr>
            </w:pPr>
            <w:r w:rsidRPr="00802404">
              <w:rPr>
                <w:b/>
                <w:bCs/>
              </w:rPr>
              <w:t>Comments</w:t>
            </w:r>
          </w:p>
        </w:tc>
      </w:tr>
      <w:tr w:rsidRPr="000C0B6C" w:rsidR="00414EDF" w:rsidTr="7EF5BBDD" w14:paraId="396AFF2B" w14:textId="77777777">
        <w:trPr>
          <w:trHeight w:val="779"/>
        </w:trPr>
        <w:tc>
          <w:tcPr>
            <w:tcW w:w="9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14EDF" w:rsidP="00FF1E02" w:rsidRDefault="00414EDF" w14:paraId="4656476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5114BE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</w:t>
            </w:r>
            <w:r w:rsidR="00B662AF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>comments on</w:t>
            </w:r>
            <w:r w:rsidR="00FF1E02">
              <w:rPr>
                <w:sz w:val="22"/>
                <w:szCs w:val="22"/>
              </w:rPr>
              <w:t xml:space="preserve"> </w:t>
            </w:r>
            <w:r w:rsidR="00070895">
              <w:rPr>
                <w:sz w:val="22"/>
                <w:szCs w:val="22"/>
              </w:rPr>
              <w:t>the</w:t>
            </w:r>
            <w:r w:rsidR="00B662AF">
              <w:rPr>
                <w:sz w:val="22"/>
                <w:szCs w:val="22"/>
              </w:rPr>
              <w:t xml:space="preserve"> national biodiversity strategy and action plan guidance.</w:t>
            </w:r>
            <w:r w:rsidR="00070895">
              <w:rPr>
                <w:sz w:val="22"/>
                <w:szCs w:val="22"/>
              </w:rPr>
              <w:t xml:space="preserve"> </w:t>
            </w:r>
          </w:p>
          <w:p w:rsidR="008E49E2" w:rsidP="00FF1E02" w:rsidRDefault="008E49E2" w14:paraId="0653C435" w14:textId="77777777">
            <w:pPr>
              <w:rPr>
                <w:sz w:val="22"/>
                <w:szCs w:val="22"/>
              </w:rPr>
            </w:pPr>
          </w:p>
          <w:p w:rsidR="00B460BC" w:rsidP="00FF1E02" w:rsidRDefault="00B460BC" w14:paraId="3450E4DA" w14:textId="5B3D54FB">
            <w:pPr>
              <w:rPr>
                <w:sz w:val="22"/>
                <w:szCs w:val="22"/>
              </w:rPr>
            </w:pPr>
            <w:r w:rsidRPr="7EF5BBDD" w:rsidR="00B460BC">
              <w:rPr>
                <w:sz w:val="22"/>
                <w:szCs w:val="22"/>
              </w:rPr>
              <w:t xml:space="preserve">We welcome this guidance on updating NBSAPs </w:t>
            </w:r>
            <w:proofErr w:type="gramStart"/>
            <w:r w:rsidRPr="7EF5BBDD" w:rsidR="00B460BC">
              <w:rPr>
                <w:sz w:val="22"/>
                <w:szCs w:val="22"/>
              </w:rPr>
              <w:t>in light of</w:t>
            </w:r>
            <w:proofErr w:type="gramEnd"/>
            <w:r w:rsidRPr="7EF5BBDD" w:rsidR="00B460BC">
              <w:rPr>
                <w:sz w:val="22"/>
                <w:szCs w:val="22"/>
              </w:rPr>
              <w:t xml:space="preserve"> the Post-2020 GBF. As a general comment, the language of the </w:t>
            </w:r>
            <w:r w:rsidRPr="7EF5BBDD" w:rsidR="00223669">
              <w:rPr>
                <w:sz w:val="22"/>
                <w:szCs w:val="22"/>
              </w:rPr>
              <w:t xml:space="preserve">document could be </w:t>
            </w:r>
            <w:r w:rsidRPr="7EF5BBDD" w:rsidR="0025392A">
              <w:rPr>
                <w:sz w:val="22"/>
                <w:szCs w:val="22"/>
              </w:rPr>
              <w:t>fu</w:t>
            </w:r>
            <w:r w:rsidRPr="7EF5BBDD" w:rsidR="000223CA">
              <w:rPr>
                <w:sz w:val="22"/>
                <w:szCs w:val="22"/>
              </w:rPr>
              <w:t xml:space="preserve">rther </w:t>
            </w:r>
            <w:r w:rsidRPr="7EF5BBDD" w:rsidR="00223669">
              <w:rPr>
                <w:sz w:val="22"/>
                <w:szCs w:val="22"/>
              </w:rPr>
              <w:t xml:space="preserve">strengthened </w:t>
            </w:r>
            <w:r w:rsidRPr="7EF5BBDD" w:rsidR="008A52D0">
              <w:rPr>
                <w:sz w:val="22"/>
                <w:szCs w:val="22"/>
              </w:rPr>
              <w:t>as it is extremely important that countries review their NBSAPs to incorporate the new goals and targets.</w:t>
            </w:r>
          </w:p>
          <w:p w:rsidR="000223CA" w:rsidP="00FF1E02" w:rsidRDefault="000223CA" w14:paraId="25463EC5" w14:textId="77777777">
            <w:pPr>
              <w:rPr>
                <w:sz w:val="22"/>
                <w:szCs w:val="22"/>
              </w:rPr>
            </w:pPr>
          </w:p>
          <w:p w:rsidR="000223CA" w:rsidP="000223CA" w:rsidRDefault="000223CA" w14:paraId="7A4E50D8" w14:textId="13AEB286">
            <w:pPr>
              <w:rPr>
                <w:sz w:val="22"/>
                <w:szCs w:val="22"/>
                <w:lang w:val="en-MX"/>
              </w:rPr>
            </w:pPr>
            <w:r w:rsidRPr="7EF5BBDD" w:rsidR="000223CA">
              <w:rPr>
                <w:sz w:val="22"/>
                <w:szCs w:val="22"/>
                <w:lang w:val="en-MX"/>
              </w:rPr>
              <w:t xml:space="preserve">Parties must facilitate the engagement of business in the </w:t>
            </w:r>
            <w:r w:rsidRPr="7EF5BBDD" w:rsidR="008A2668">
              <w:rPr>
                <w:sz w:val="22"/>
                <w:szCs w:val="22"/>
                <w:lang w:val="en-MX"/>
              </w:rPr>
              <w:t>upda</w:t>
            </w:r>
            <w:proofErr w:type="gramStart"/>
            <w:r w:rsidRPr="7EF5BBDD" w:rsidR="008A2668">
              <w:rPr>
                <w:sz w:val="22"/>
                <w:szCs w:val="22"/>
              </w:rPr>
              <w:t>ting</w:t>
            </w:r>
            <w:proofErr w:type="gramEnd"/>
            <w:r w:rsidRPr="7EF5BBDD" w:rsidR="008A2668">
              <w:rPr>
                <w:sz w:val="22"/>
                <w:szCs w:val="22"/>
              </w:rPr>
              <w:t xml:space="preserve"> of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 NBSAPs</w:t>
            </w:r>
            <w:r w:rsidRPr="7EF5BBDD" w:rsidR="008A2668">
              <w:rPr>
                <w:sz w:val="22"/>
                <w:szCs w:val="22"/>
              </w:rPr>
              <w:t xml:space="preserve"> and</w:t>
            </w:r>
            <w:r w:rsidRPr="7EF5BBDD" w:rsidR="00915053">
              <w:rPr>
                <w:sz w:val="22"/>
                <w:szCs w:val="22"/>
              </w:rPr>
              <w:t xml:space="preserve"> </w:t>
            </w:r>
            <w:r w:rsidRPr="7EF5BBDD" w:rsidR="000223CA">
              <w:rPr>
                <w:sz w:val="22"/>
                <w:szCs w:val="22"/>
                <w:lang w:val="en-MX"/>
              </w:rPr>
              <w:t>translate national targets into explicit sectoral plans to set expectations regarding business contributions.</w:t>
            </w:r>
            <w:r w:rsidRPr="7EF5BBDD" w:rsidR="7EF5BBDD">
              <w:rPr>
                <w:sz w:val="22"/>
                <w:szCs w:val="22"/>
                <w:lang w:val="en-MX"/>
              </w:rPr>
              <w:t xml:space="preserve"> 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A </w:t>
            </w:r>
            <w:r w:rsidRPr="7EF5BBDD" w:rsidR="000223CA">
              <w:rPr>
                <w:sz w:val="22"/>
                <w:szCs w:val="22"/>
              </w:rPr>
              <w:t xml:space="preserve">guidance </w:t>
            </w:r>
            <w:r w:rsidRPr="7EF5BBDD" w:rsidR="00861C97">
              <w:rPr>
                <w:sz w:val="22"/>
                <w:szCs w:val="22"/>
              </w:rPr>
              <w:t>on</w:t>
            </w:r>
            <w:r w:rsidRPr="7EF5BBDD" w:rsidR="000223CA">
              <w:rPr>
                <w:sz w:val="22"/>
                <w:szCs w:val="22"/>
              </w:rPr>
              <w:t xml:space="preserve"> updating NBSAPs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 designed for Parties only, without </w:t>
            </w:r>
            <w:r w:rsidRPr="7EF5BBDD" w:rsidR="00861C97">
              <w:rPr>
                <w:sz w:val="22"/>
                <w:szCs w:val="22"/>
              </w:rPr>
              <w:t xml:space="preserve">clear </w:t>
            </w:r>
            <w:r w:rsidRPr="7EF5BBDD" w:rsidR="0052683F">
              <w:rPr>
                <w:sz w:val="22"/>
                <w:szCs w:val="22"/>
              </w:rPr>
              <w:t>mechanisms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 that would 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enable business and finance to meaningfully act and report their contributions would be a major missed </w:t>
            </w:r>
            <w:r w:rsidRPr="7EF5BBDD" w:rsidR="000223CA">
              <w:rPr>
                <w:sz w:val="22"/>
                <w:szCs w:val="22"/>
                <w:lang w:val="en-MX"/>
              </w:rPr>
              <w:t>opportunity as</w:t>
            </w:r>
            <w:r w:rsidRPr="7EF5BBDD" w:rsidR="00705281">
              <w:rPr>
                <w:sz w:val="22"/>
                <w:szCs w:val="22"/>
              </w:rPr>
              <w:t xml:space="preserve"> national reporting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 would become more achievable and less onerous for Parties with active</w:t>
            </w:r>
            <w:r w:rsidRPr="7EF5BBDD" w:rsidR="00705281">
              <w:rPr>
                <w:sz w:val="22"/>
                <w:szCs w:val="22"/>
              </w:rPr>
              <w:t xml:space="preserve"> non-state actors</w:t>
            </w:r>
            <w:r w:rsidRPr="7EF5BBDD" w:rsidR="00705281">
              <w:rPr>
                <w:sz w:val="22"/>
                <w:szCs w:val="22"/>
              </w:rPr>
              <w:t xml:space="preserve"> contribution, including</w:t>
            </w:r>
            <w:r w:rsidRPr="7EF5BBDD" w:rsidR="000223CA">
              <w:rPr>
                <w:sz w:val="22"/>
                <w:szCs w:val="22"/>
                <w:lang w:val="en-MX"/>
              </w:rPr>
              <w:t xml:space="preserve"> business</w:t>
            </w:r>
            <w:r w:rsidRPr="7EF5BBDD" w:rsidR="00705281">
              <w:rPr>
                <w:sz w:val="22"/>
                <w:szCs w:val="22"/>
              </w:rPr>
              <w:t xml:space="preserve"> </w:t>
            </w:r>
            <w:r w:rsidRPr="7EF5BBDD" w:rsidR="000223CA">
              <w:rPr>
                <w:sz w:val="22"/>
                <w:szCs w:val="22"/>
                <w:lang w:val="en-MX"/>
              </w:rPr>
              <w:t>contribution.</w:t>
            </w:r>
          </w:p>
          <w:p w:rsidRPr="00915053" w:rsidR="000223CA" w:rsidP="7EF5BBDD" w:rsidRDefault="000223CA" w14:paraId="1C5D113D" w14:noSpellErr="1" w14:textId="7212AC4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MX"/>
              </w:rPr>
            </w:pPr>
          </w:p>
        </w:tc>
      </w:tr>
      <w:tr w:rsidRPr="000C0B6C" w:rsidR="00A15B70" w:rsidTr="7EF5BBDD" w14:paraId="39506053" w14:textId="77777777">
        <w:trPr>
          <w:trHeight w:val="404"/>
        </w:trPr>
        <w:tc>
          <w:tcPr>
            <w:tcW w:w="95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A15B70" w:rsidP="00A15B70" w:rsidRDefault="00A15B70" w14:paraId="7CF40AD4" w14:textId="35842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use the table below to provide any specific comments on the template</w:t>
            </w:r>
            <w:r w:rsidR="00472B8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8550"/>
      </w:tblGrid>
      <w:tr w:rsidRPr="00B61340" w:rsidR="00B662AF" w:rsidTr="7EF5BBDD" w14:paraId="292D82A2" w14:textId="77777777">
        <w:trPr>
          <w:trHeight w:val="314"/>
          <w:jc w:val="center"/>
        </w:trPr>
        <w:tc>
          <w:tcPr>
            <w:tcW w:w="968" w:type="dxa"/>
            <w:shd w:val="clear" w:color="auto" w:fill="D9D9D9" w:themeFill="background1" w:themeFillShade="D9"/>
            <w:tcMar/>
          </w:tcPr>
          <w:p w:rsidRPr="00472B8D" w:rsidR="00B662AF" w:rsidP="00754892" w:rsidRDefault="00236608" w14:paraId="7243605D" w14:textId="19FC10C4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153018">
              <w:rPr>
                <w:i/>
                <w:szCs w:val="22"/>
              </w:rPr>
              <w:t xml:space="preserve"> </w:t>
            </w:r>
            <w:r w:rsidRPr="00472B8D" w:rsidR="00B662AF">
              <w:rPr>
                <w:b/>
                <w:kern w:val="22"/>
                <w:szCs w:val="22"/>
              </w:rPr>
              <w:t>Section</w:t>
            </w:r>
          </w:p>
        </w:tc>
        <w:tc>
          <w:tcPr>
            <w:tcW w:w="855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</w:tcPr>
          <w:p w:rsidRPr="00472B8D" w:rsidR="00B662AF" w:rsidP="00754892" w:rsidRDefault="00B662AF" w14:paraId="04FA542A" w14:textId="65C2C74F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>
              <w:rPr>
                <w:b/>
                <w:kern w:val="22"/>
                <w:szCs w:val="22"/>
              </w:rPr>
              <w:t>Comment</w:t>
            </w:r>
          </w:p>
        </w:tc>
      </w:tr>
      <w:tr w:rsidRPr="00B61340" w:rsidR="00B662AF" w:rsidTr="7EF5BBDD" w14:paraId="64276617" w14:textId="77777777">
        <w:trPr>
          <w:jc w:val="center"/>
        </w:trPr>
        <w:tc>
          <w:tcPr>
            <w:tcW w:w="968" w:type="dxa"/>
            <w:tcMar/>
          </w:tcPr>
          <w:p w:rsidRPr="00EB7321" w:rsidR="00B662AF" w:rsidP="00754892" w:rsidRDefault="00B662AF" w14:paraId="51F93E71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1</w:t>
            </w:r>
          </w:p>
        </w:tc>
        <w:tc>
          <w:tcPr>
            <w:tcW w:w="8550" w:type="dxa"/>
            <w:tcMar/>
          </w:tcPr>
          <w:p w:rsidR="00B662AF" w:rsidP="00754892" w:rsidRDefault="00B662AF" w14:paraId="542FF7E1" w14:textId="7ED852CD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1 which includes the elaboration of national targets towards </w:t>
            </w:r>
            <w:r w:rsidRPr="00EB7321">
              <w:rPr>
                <w:bCs/>
                <w:kern w:val="22"/>
                <w:szCs w:val="22"/>
                <w:u w:val="single"/>
              </w:rPr>
              <w:t>each of the global targets</w:t>
            </w:r>
            <w:r w:rsidRPr="00EB7321">
              <w:rPr>
                <w:bCs/>
                <w:snapToGrid w:val="0"/>
                <w:kern w:val="22"/>
                <w:szCs w:val="22"/>
              </w:rPr>
              <w:t xml:space="preserve"> of the post-2020 global biodiversity framework</w:t>
            </w:r>
            <w:r w:rsidRPr="00EB7321" w:rsidR="00EB7321">
              <w:rPr>
                <w:bCs/>
                <w:snapToGrid w:val="0"/>
                <w:kern w:val="22"/>
                <w:szCs w:val="22"/>
              </w:rPr>
              <w:t>.</w:t>
            </w:r>
          </w:p>
          <w:p w:rsidR="00651463" w:rsidP="00754892" w:rsidRDefault="00651463" w14:paraId="31F56884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</w:p>
          <w:p w:rsidRPr="00F41F5C" w:rsidR="00120765" w:rsidP="00F41F5C" w:rsidRDefault="00120765" w14:paraId="5DC25114" w14:textId="7EC52DCC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  <w:r w:rsidRPr="001A0D3E">
              <w:rPr>
                <w:bCs/>
                <w:snapToGrid w:val="0"/>
                <w:kern w:val="22"/>
                <w:szCs w:val="22"/>
                <w:lang w:val="en-US"/>
              </w:rPr>
              <w:lastRenderedPageBreak/>
              <w:t xml:space="preserve">There should be a </w:t>
            </w:r>
            <w:r w:rsidR="005A4EAC">
              <w:rPr>
                <w:bCs/>
                <w:snapToGrid w:val="0"/>
                <w:kern w:val="22"/>
                <w:szCs w:val="22"/>
                <w:lang w:val="en-US"/>
              </w:rPr>
              <w:t xml:space="preserve">clear </w:t>
            </w:r>
            <w:r w:rsidRPr="001A0D3E">
              <w:rPr>
                <w:bCs/>
                <w:snapToGrid w:val="0"/>
                <w:kern w:val="22"/>
                <w:szCs w:val="22"/>
                <w:lang w:val="en-US"/>
              </w:rPr>
              <w:t xml:space="preserve">deadline </w:t>
            </w:r>
            <w:r w:rsidR="00D63E8B">
              <w:rPr>
                <w:bCs/>
                <w:snapToGrid w:val="0"/>
                <w:kern w:val="22"/>
                <w:szCs w:val="22"/>
                <w:lang w:val="en-US"/>
              </w:rPr>
              <w:t>for establishing national targets</w:t>
            </w:r>
            <w:r w:rsidRPr="001A0D3E">
              <w:rPr>
                <w:bCs/>
                <w:snapToGrid w:val="0"/>
                <w:kern w:val="22"/>
                <w:szCs w:val="22"/>
                <w:lang w:val="en-US"/>
              </w:rPr>
              <w:t>, similar to the timeline for revision of the NBSAP.</w:t>
            </w:r>
            <w:r w:rsidR="003508A1">
              <w:rPr>
                <w:bCs/>
                <w:snapToGrid w:val="0"/>
                <w:kern w:val="22"/>
                <w:szCs w:val="22"/>
                <w:lang w:val="en-US"/>
              </w:rPr>
              <w:t xml:space="preserve"> </w:t>
            </w:r>
            <w:r w:rsidRPr="003508A1">
              <w:rPr>
                <w:bCs/>
                <w:snapToGrid w:val="0"/>
                <w:kern w:val="22"/>
                <w:szCs w:val="22"/>
                <w:lang w:val="en-US"/>
              </w:rPr>
              <w:t xml:space="preserve">This will be critical for </w:t>
            </w:r>
            <w:r w:rsidR="00D63E8B">
              <w:rPr>
                <w:bCs/>
                <w:snapToGrid w:val="0"/>
                <w:kern w:val="22"/>
                <w:szCs w:val="22"/>
                <w:lang w:val="en-US"/>
              </w:rPr>
              <w:t>a</w:t>
            </w:r>
            <w:r w:rsidRPr="003508A1">
              <w:rPr>
                <w:bCs/>
                <w:snapToGrid w:val="0"/>
                <w:kern w:val="22"/>
                <w:szCs w:val="22"/>
                <w:lang w:val="en-US"/>
              </w:rPr>
              <w:t xml:space="preserve"> successful implementation. </w:t>
            </w:r>
            <w:r w:rsidR="00F41F5C">
              <w:rPr>
                <w:bCs/>
                <w:snapToGrid w:val="0"/>
                <w:kern w:val="22"/>
                <w:szCs w:val="22"/>
                <w:lang w:val="en-US"/>
              </w:rPr>
              <w:t>It is important to consider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 xml:space="preserve"> realistic timing.</w:t>
            </w:r>
            <w:r w:rsid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 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>A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>ssum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 xml:space="preserve">ing 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>COP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>15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 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>will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 take place in 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 xml:space="preserve">the Summer of 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2022, </w:t>
            </w:r>
            <w:r w:rsidR="001B106E">
              <w:rPr>
                <w:bCs/>
                <w:snapToGrid w:val="0"/>
                <w:kern w:val="22"/>
                <w:szCs w:val="22"/>
                <w:lang w:val="en-US"/>
              </w:rPr>
              <w:t>P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arties can revise their NBSAPs until </w:t>
            </w:r>
            <w:r w:rsidR="00A53675">
              <w:rPr>
                <w:bCs/>
                <w:snapToGrid w:val="0"/>
                <w:kern w:val="22"/>
                <w:szCs w:val="22"/>
                <w:lang w:val="en-US"/>
              </w:rPr>
              <w:t>Summer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 2023. If </w:t>
            </w:r>
            <w:r w:rsidR="00A53675">
              <w:rPr>
                <w:bCs/>
                <w:snapToGrid w:val="0"/>
                <w:kern w:val="22"/>
                <w:szCs w:val="22"/>
                <w:lang w:val="en-US"/>
              </w:rPr>
              <w:t xml:space="preserve">national targets or concrete 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>actions are to be determined afterwards</w:t>
            </w:r>
            <w:r w:rsidR="00A53675">
              <w:rPr>
                <w:bCs/>
                <w:snapToGrid w:val="0"/>
                <w:kern w:val="22"/>
                <w:szCs w:val="22"/>
                <w:lang w:val="en-US"/>
              </w:rPr>
              <w:t>,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 even with a deadline of 1 year</w:t>
            </w:r>
            <w:r w:rsidR="00A53675">
              <w:rPr>
                <w:bCs/>
                <w:snapToGrid w:val="0"/>
                <w:kern w:val="22"/>
                <w:szCs w:val="22"/>
                <w:lang w:val="en-US"/>
              </w:rPr>
              <w:t>,</w:t>
            </w:r>
            <w:r w:rsidRPr="00F41F5C">
              <w:rPr>
                <w:bCs/>
                <w:snapToGrid w:val="0"/>
                <w:kern w:val="22"/>
                <w:szCs w:val="22"/>
                <w:lang w:val="en-US"/>
              </w:rPr>
              <w:t xml:space="preserve"> then it will already be the end of 2024. Leaving roughly 5 years until </w:t>
            </w:r>
            <w:r w:rsidR="009E39EF">
              <w:rPr>
                <w:bCs/>
                <w:snapToGrid w:val="0"/>
                <w:kern w:val="22"/>
                <w:szCs w:val="22"/>
                <w:lang w:val="en-US"/>
              </w:rPr>
              <w:t>2030.</w:t>
            </w:r>
          </w:p>
          <w:p w:rsidR="009E39EF" w:rsidP="00120765" w:rsidRDefault="009E39EF" w14:paraId="5DF14ECA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</w:p>
          <w:p w:rsidRPr="00CC3E8E" w:rsidR="00120765" w:rsidP="00120765" w:rsidRDefault="00120765" w14:paraId="3500C5D7" w14:textId="251AE124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  <w:r w:rsidRPr="00120765">
              <w:rPr>
                <w:bCs/>
                <w:snapToGrid w:val="0"/>
                <w:kern w:val="22"/>
                <w:szCs w:val="22"/>
                <w:lang w:val="en-US"/>
              </w:rPr>
              <w:t xml:space="preserve">A clear guideline and deadline will be necessary even if </w:t>
            </w:r>
            <w:r w:rsidR="003B4511">
              <w:rPr>
                <w:bCs/>
                <w:snapToGrid w:val="0"/>
                <w:kern w:val="22"/>
                <w:szCs w:val="22"/>
                <w:lang w:val="en-US"/>
              </w:rPr>
              <w:t>P</w:t>
            </w:r>
            <w:r w:rsidRPr="00120765">
              <w:rPr>
                <w:bCs/>
                <w:snapToGrid w:val="0"/>
                <w:kern w:val="22"/>
                <w:szCs w:val="22"/>
                <w:lang w:val="en-US"/>
              </w:rPr>
              <w:t>arties deci</w:t>
            </w:r>
            <w:r w:rsidR="003B4511">
              <w:rPr>
                <w:bCs/>
                <w:snapToGrid w:val="0"/>
                <w:kern w:val="22"/>
                <w:szCs w:val="22"/>
                <w:lang w:val="en-US"/>
              </w:rPr>
              <w:t>de</w:t>
            </w:r>
            <w:r w:rsidRPr="00120765">
              <w:rPr>
                <w:bCs/>
                <w:snapToGrid w:val="0"/>
                <w:kern w:val="22"/>
                <w:szCs w:val="22"/>
                <w:lang w:val="en-US"/>
              </w:rPr>
              <w:t xml:space="preserve"> not to aim for 2030 as a time horizon anymore, due to COP delays.</w:t>
            </w:r>
          </w:p>
          <w:p w:rsidRPr="00EB7321" w:rsidR="009715B2" w:rsidP="00754892" w:rsidRDefault="009715B2" w14:paraId="03EE7E12" w14:textId="3D2F21C9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Cs w:val="22"/>
              </w:rPr>
            </w:pPr>
          </w:p>
        </w:tc>
      </w:tr>
      <w:tr w:rsidRPr="00B61340" w:rsidR="00B662AF" w:rsidTr="7EF5BBDD" w14:paraId="0870FB43" w14:textId="77777777">
        <w:trPr>
          <w:jc w:val="center"/>
        </w:trPr>
        <w:tc>
          <w:tcPr>
            <w:tcW w:w="968" w:type="dxa"/>
            <w:tcMar/>
          </w:tcPr>
          <w:p w:rsidRPr="00EB7321" w:rsidR="00B662AF" w:rsidP="00754892" w:rsidRDefault="00B662AF" w14:paraId="7E06BBB0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lastRenderedPageBreak/>
              <w:t>2</w:t>
            </w:r>
          </w:p>
        </w:tc>
        <w:tc>
          <w:tcPr>
            <w:tcW w:w="8550" w:type="dxa"/>
            <w:tcMar/>
          </w:tcPr>
          <w:p w:rsidRPr="00EB7321" w:rsidR="00B662AF" w:rsidP="00754892" w:rsidRDefault="00B662AF" w14:paraId="2FF7179A" w14:textId="4BED7915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Please provide comments on section 2 on who is responsible for coordinating implementation and reporting on this target</w:t>
            </w:r>
            <w:r w:rsidRPr="00EB7321" w:rsidR="00EB7321">
              <w:rPr>
                <w:bCs/>
                <w:kern w:val="22"/>
                <w:szCs w:val="22"/>
              </w:rPr>
              <w:t>.</w:t>
            </w:r>
          </w:p>
          <w:p w:rsidRPr="00EB7321" w:rsidR="00802404" w:rsidP="00754892" w:rsidRDefault="00802404" w14:paraId="3DFB4C3A" w14:textId="751B361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  <w:tr w:rsidRPr="00B61340" w:rsidR="00B662AF" w:rsidTr="7EF5BBDD" w14:paraId="6B683C69" w14:textId="77777777">
        <w:trPr>
          <w:jc w:val="center"/>
        </w:trPr>
        <w:tc>
          <w:tcPr>
            <w:tcW w:w="968" w:type="dxa"/>
            <w:tcMar/>
          </w:tcPr>
          <w:p w:rsidRPr="00EB7321" w:rsidR="00B662AF" w:rsidP="00754892" w:rsidRDefault="00B662AF" w14:paraId="7163EF36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3</w:t>
            </w:r>
          </w:p>
        </w:tc>
        <w:tc>
          <w:tcPr>
            <w:tcW w:w="8550" w:type="dxa"/>
            <w:tcMar/>
          </w:tcPr>
          <w:p w:rsidR="00B662AF" w:rsidP="00754892" w:rsidRDefault="00B662AF" w14:paraId="0998E1BF" w14:textId="77777777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EB7321">
              <w:rPr>
                <w:bCs/>
                <w:kern w:val="22"/>
                <w:sz w:val="22"/>
                <w:szCs w:val="22"/>
              </w:rPr>
              <w:t>Please provide comments on section 3 on the linkages with other national initiatives and targets.</w:t>
            </w:r>
          </w:p>
          <w:p w:rsidRPr="00EB7321" w:rsidR="00802404" w:rsidP="00816DE9" w:rsidRDefault="00802404" w14:paraId="2F338F22" w14:textId="3551438A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  <w:tr w:rsidRPr="00B61340" w:rsidR="00B662AF" w:rsidTr="7EF5BBDD" w14:paraId="5A6BB5AF" w14:textId="77777777">
        <w:trPr>
          <w:jc w:val="center"/>
        </w:trPr>
        <w:tc>
          <w:tcPr>
            <w:tcW w:w="968" w:type="dxa"/>
            <w:tcMar/>
          </w:tcPr>
          <w:p w:rsidRPr="00EB7321" w:rsidR="00B662AF" w:rsidP="00754892" w:rsidRDefault="00B662AF" w14:paraId="18E278FD" w14:textId="77777777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00EB7321">
              <w:rPr>
                <w:kern w:val="22"/>
                <w:sz w:val="22"/>
                <w:szCs w:val="22"/>
              </w:rPr>
              <w:t>4</w:t>
            </w:r>
          </w:p>
        </w:tc>
        <w:tc>
          <w:tcPr>
            <w:tcW w:w="8550" w:type="dxa"/>
            <w:tcMar/>
          </w:tcPr>
          <w:p w:rsidR="00B662AF" w:rsidP="00A15B70" w:rsidRDefault="00B662AF" w14:paraId="646DC155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4 on involvement of sub-national or other actors beyond national governments.  </w:t>
            </w:r>
          </w:p>
          <w:p w:rsidR="009C6DDB" w:rsidP="00A15B70" w:rsidRDefault="009C6DDB" w14:paraId="4BA08B47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</w:p>
          <w:p w:rsidRPr="00026289" w:rsidR="009E3D32" w:rsidP="009E3D32" w:rsidRDefault="009E3D32" w14:paraId="23EDC096" w14:textId="77777777">
            <w:pPr>
              <w:rPr>
                <w:lang w:val="en-MX"/>
              </w:rPr>
            </w:pPr>
            <w:r w:rsidRPr="009E3D32">
              <w:rPr>
                <w:bCs/>
                <w:snapToGrid w:val="0"/>
                <w:kern w:val="22"/>
                <w:sz w:val="22"/>
                <w:szCs w:val="21"/>
              </w:rPr>
              <w:t>Para 5, line 3 “This review should be completed within 12 months of the adoption of the new framework</w:t>
            </w:r>
            <w:r w:rsidRPr="009E3D32">
              <w:rPr>
                <w:rStyle w:val="normaltextrun"/>
                <w:color w:val="000000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r w:rsidRPr="0002628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>and should include implementation gaps, existing goals, targets and indicators, monitoring systems (including existing data,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253F13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  <w:lang w:val="en-GB"/>
              </w:rPr>
              <w:t>data gaps,</w:t>
            </w:r>
            <w:r w:rsidRPr="0002628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knowledge and knowledge systems), sectoral and cross-sectoral policies, finance and other means of implementation, and </w:t>
            </w:r>
            <w:r w:rsidRPr="008F1F95">
              <w:rPr>
                <w:rStyle w:val="normaltextrun"/>
                <w:strike/>
                <w:color w:val="000000"/>
                <w:sz w:val="22"/>
                <w:szCs w:val="22"/>
                <w:shd w:val="clear" w:color="auto" w:fill="FFFFFF"/>
                <w:lang w:val="en-GB"/>
              </w:rPr>
              <w:t>an assessment of the</w:t>
            </w:r>
            <w:r w:rsidRPr="0002628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8F1F95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  <w:lang w:val="en-GB"/>
              </w:rPr>
              <w:t>ensure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02628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>stakeholders and rightsholders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8F1F95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  <w:lang w:val="en-GB"/>
              </w:rPr>
              <w:t>are</w:t>
            </w:r>
            <w:r w:rsidRPr="00026289"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involved in revision and implementation.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en-GB"/>
              </w:rPr>
              <w:t>”</w:t>
            </w:r>
          </w:p>
          <w:p w:rsidRPr="007019B4" w:rsidR="009E3D32" w:rsidP="009E3D32" w:rsidRDefault="009E3D32" w14:paraId="73020199" w14:textId="77777777">
            <w:pPr>
              <w:rPr>
                <w:rStyle w:val="normaltextrun"/>
                <w:color w:val="000000"/>
                <w:sz w:val="21"/>
                <w:szCs w:val="21"/>
                <w:shd w:val="clear" w:color="auto" w:fill="FFFFFF"/>
              </w:rPr>
            </w:pPr>
          </w:p>
          <w:p w:rsidR="009E3D32" w:rsidP="009E3D32" w:rsidRDefault="009E3D32" w14:paraId="2F0449E3" w14:textId="7E691146">
            <w:pPr>
              <w:rPr>
                <w:sz w:val="22"/>
                <w:szCs w:val="22"/>
                <w:lang w:val="en-MX"/>
              </w:rPr>
            </w:pPr>
            <w:r w:rsidRPr="7EF5BBDD" w:rsidR="441D2C89">
              <w:rPr>
                <w:sz w:val="22"/>
                <w:szCs w:val="22"/>
              </w:rPr>
              <w:t xml:space="preserve">Justification: </w:t>
            </w:r>
            <w:r w:rsidRPr="7EF5BBDD" w:rsidR="441D2C89">
              <w:rPr>
                <w:i w:val="1"/>
                <w:iCs w:val="1"/>
                <w:sz w:val="22"/>
                <w:szCs w:val="22"/>
              </w:rPr>
              <w:t>T</w:t>
            </w:r>
            <w:r w:rsidRPr="7EF5BBDD" w:rsidR="441D2C89">
              <w:rPr>
                <w:i w:val="1"/>
                <w:iCs w:val="1"/>
                <w:sz w:val="22"/>
                <w:szCs w:val="22"/>
                <w:lang w:val="en-MX"/>
              </w:rPr>
              <w:t>his section could be clearer as the aspect of participation may be confusing.</w:t>
            </w:r>
            <w:r w:rsidRPr="7EF5BBDD" w:rsidR="441D2C89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7EF5BBDD" w:rsidR="441D2C89">
              <w:rPr>
                <w:i w:val="1"/>
                <w:iCs w:val="1"/>
                <w:sz w:val="22"/>
                <w:szCs w:val="22"/>
                <w:lang w:val="en-MX"/>
              </w:rPr>
              <w:t>Currently, it only sa</w:t>
            </w:r>
            <w:r w:rsidRPr="7EF5BBDD" w:rsidR="441D2C89">
              <w:rPr>
                <w:i w:val="1"/>
                <w:iCs w:val="1"/>
                <w:sz w:val="22"/>
                <w:szCs w:val="22"/>
              </w:rPr>
              <w:t>y</w:t>
            </w:r>
            <w:r w:rsidRPr="7EF5BBDD" w:rsidR="441D2C89">
              <w:rPr>
                <w:i w:val="1"/>
                <w:iCs w:val="1"/>
                <w:sz w:val="22"/>
                <w:szCs w:val="22"/>
                <w:lang w:val="en-MX"/>
              </w:rPr>
              <w:t>s that it sho</w:t>
            </w:r>
            <w:proofErr w:type="spellStart"/>
            <w:r w:rsidRPr="7EF5BBDD" w:rsidR="441D2C89">
              <w:rPr>
                <w:i w:val="1"/>
                <w:iCs w:val="1"/>
                <w:sz w:val="22"/>
                <w:szCs w:val="22"/>
              </w:rPr>
              <w:t>u</w:t>
            </w:r>
            <w:r w:rsidRPr="7EF5BBDD" w:rsidR="441D2C89">
              <w:rPr>
                <w:i w:val="1"/>
                <w:iCs w:val="1"/>
                <w:sz w:val="22"/>
                <w:szCs w:val="22"/>
              </w:rPr>
              <w:t>ld</w:t>
            </w:r>
            <w:proofErr w:type="spellEnd"/>
            <w:r w:rsidRPr="7EF5BBDD" w:rsidR="441D2C89">
              <w:rPr>
                <w:i w:val="1"/>
                <w:iCs w:val="1"/>
                <w:sz w:val="22"/>
                <w:szCs w:val="22"/>
                <w:lang w:val="en-MX"/>
              </w:rPr>
              <w:t xml:space="preserve"> be assessed (=described) if stakeholders have been involved in the implementation and revision.</w:t>
            </w:r>
            <w:r w:rsidRPr="7EF5BBDD" w:rsidR="441D2C89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7EF5BBDD" w:rsidR="441D2C89">
              <w:rPr>
                <w:i w:val="1"/>
                <w:iCs w:val="1"/>
                <w:sz w:val="22"/>
                <w:szCs w:val="22"/>
                <w:lang w:val="en-MX"/>
              </w:rPr>
              <w:t>It is however important that it specifically request Parties to involve stakeholders in the revision process.</w:t>
            </w:r>
          </w:p>
          <w:p w:rsidR="005A4EAC" w:rsidP="009E3D32" w:rsidRDefault="005A4EAC" w14:paraId="0D65932D" w14:textId="77777777">
            <w:pPr>
              <w:rPr>
                <w:sz w:val="22"/>
                <w:szCs w:val="22"/>
                <w:lang w:val="en-MX"/>
              </w:rPr>
            </w:pPr>
          </w:p>
          <w:p w:rsidR="009C6DDB" w:rsidP="009C6DDB" w:rsidRDefault="009C6DDB" w14:paraId="31769268" w14:textId="77777777">
            <w:pPr>
              <w:rPr>
                <w:lang w:val="en-MX"/>
              </w:rPr>
            </w:pPr>
            <w:r w:rsidRPr="00B85627">
              <w:rPr>
                <w:sz w:val="22"/>
                <w:szCs w:val="22"/>
              </w:rPr>
              <w:t>Para 6 (b) “</w:t>
            </w:r>
            <w:r>
              <w:rPr>
                <w:rStyle w:val="normaltextrun"/>
                <w:color w:val="000000"/>
                <w:sz w:val="22"/>
                <w:szCs w:val="22"/>
                <w:bdr w:val="none" w:color="auto" w:sz="0" w:space="0" w:frame="1"/>
                <w:lang w:val="en-GB"/>
              </w:rPr>
              <w:t xml:space="preserve">The resources necessary for implementation should be identified through the development of a national biodiversity finance plan, and the actors, </w:t>
            </w:r>
            <w:r w:rsidRPr="00B85627">
              <w:rPr>
                <w:rStyle w:val="normaltextrun"/>
                <w:b/>
                <w:bCs/>
                <w:color w:val="000000"/>
                <w:sz w:val="22"/>
                <w:szCs w:val="22"/>
                <w:bdr w:val="none" w:color="auto" w:sz="0" w:space="0" w:frame="1"/>
                <w:lang w:val="en-GB"/>
              </w:rPr>
              <w:t>including non-state actors,</w:t>
            </w:r>
            <w:r>
              <w:rPr>
                <w:rStyle w:val="normaltextrun"/>
                <w:color w:val="000000"/>
                <w:sz w:val="22"/>
                <w:szCs w:val="22"/>
                <w:bdr w:val="none" w:color="auto" w:sz="0" w:space="0" w:frame="1"/>
                <w:lang w:val="en-GB"/>
              </w:rPr>
              <w:t xml:space="preserve"> responsible for implementation should be identified and agreed at the time of planning and writing so that their buy-in and participation is guaranteed.”</w:t>
            </w:r>
          </w:p>
          <w:p w:rsidR="0030074B" w:rsidP="009C6DDB" w:rsidRDefault="0030074B" w14:paraId="40AAF57B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</w:p>
          <w:p w:rsidR="0030074B" w:rsidP="009C6DDB" w:rsidRDefault="0030074B" w14:paraId="602D03AA" w14:textId="2BAA3EAC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  <w:r>
              <w:rPr>
                <w:bCs/>
                <w:snapToGrid w:val="0"/>
                <w:kern w:val="22"/>
                <w:szCs w:val="22"/>
                <w:lang w:val="en-US"/>
              </w:rPr>
              <w:t xml:space="preserve">Para 9 </w:t>
            </w:r>
            <w:r w:rsidR="00937E10">
              <w:rPr>
                <w:bCs/>
                <w:snapToGrid w:val="0"/>
                <w:kern w:val="22"/>
                <w:szCs w:val="22"/>
                <w:lang w:val="en-US"/>
              </w:rPr>
              <w:t xml:space="preserve">line </w:t>
            </w:r>
            <w:r w:rsidR="00FE4523">
              <w:rPr>
                <w:bCs/>
                <w:snapToGrid w:val="0"/>
                <w:kern w:val="22"/>
                <w:szCs w:val="22"/>
                <w:lang w:val="en-US"/>
              </w:rPr>
              <w:t>10</w:t>
            </w:r>
            <w:r w:rsidR="00FE4523">
              <w:t xml:space="preserve"> “…</w:t>
            </w:r>
            <w:r w:rsidRPr="00FE4523" w:rsidR="00FE4523">
              <w:rPr>
                <w:bCs/>
                <w:snapToGrid w:val="0"/>
                <w:kern w:val="22"/>
                <w:szCs w:val="22"/>
                <w:lang w:val="en-US"/>
              </w:rPr>
              <w:t>and other stakeholders, to oversee the revision</w:t>
            </w:r>
            <w:r w:rsidR="00FE4523">
              <w:rPr>
                <w:bCs/>
                <w:snapToGrid w:val="0"/>
                <w:kern w:val="22"/>
                <w:szCs w:val="22"/>
                <w:lang w:val="en-US"/>
              </w:rPr>
              <w:t xml:space="preserve"> </w:t>
            </w:r>
            <w:r w:rsidRPr="00FE4523" w:rsidR="00FE4523">
              <w:rPr>
                <w:b/>
                <w:snapToGrid w:val="0"/>
                <w:kern w:val="22"/>
                <w:szCs w:val="22"/>
                <w:lang w:val="en-US"/>
              </w:rPr>
              <w:t xml:space="preserve">and actively participate in the </w:t>
            </w:r>
            <w:r w:rsidRPr="00FE4523" w:rsidR="00FE4523">
              <w:rPr>
                <w:b/>
                <w:snapToGrid w:val="0"/>
                <w:kern w:val="22"/>
                <w:szCs w:val="22"/>
                <w:lang w:val="en-US"/>
              </w:rPr>
              <w:t>implementation,</w:t>
            </w:r>
            <w:r w:rsidRPr="00FE4523" w:rsidR="00FE4523">
              <w:rPr>
                <w:bCs/>
                <w:snapToGrid w:val="0"/>
                <w:kern w:val="22"/>
                <w:szCs w:val="22"/>
                <w:lang w:val="en-US"/>
              </w:rPr>
              <w:t xml:space="preserve"> monitoring and review of the NBSAP and other biodiversity-relevant instruments.</w:t>
            </w:r>
          </w:p>
          <w:p w:rsidR="00E00C6D" w:rsidP="009C6DDB" w:rsidRDefault="00E00C6D" w14:paraId="52488209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</w:p>
          <w:p w:rsidR="00E00C6D" w:rsidP="7EF5BBDD" w:rsidRDefault="00E00C6D" w14:paraId="3C224344" w14:textId="142F8C53">
            <w:pPr>
              <w:pStyle w:val="ListParagraph"/>
              <w:suppressLineNumbers/>
              <w:suppressAutoHyphens/>
              <w:adjustRightInd w:val="0"/>
              <w:snapToGrid w:val="0"/>
              <w:spacing/>
              <w:ind w:left="0"/>
              <w:rPr>
                <w:snapToGrid w:val="0"/>
                <w:kern w:val="22"/>
                <w:lang w:val="en-US"/>
              </w:rPr>
            </w:pPr>
            <w:r w:rsidRPr="7EF5BBDD" w:rsidR="7980596E">
              <w:rPr>
                <w:snapToGrid w:val="0"/>
                <w:kern w:val="22"/>
                <w:lang w:val="en-US"/>
              </w:rPr>
              <w:t xml:space="preserve">Justification: 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Non-state actors should be encouraged to actively participate in the implementation of NBSAPs and should </w:t>
            </w:r>
            <w:r w:rsidRPr="7EF5BBDD" w:rsidR="4667FEEB">
              <w:rPr>
                <w:i w:val="1"/>
                <w:iCs w:val="1"/>
                <w:snapToGrid w:val="0"/>
                <w:kern w:val="22"/>
                <w:lang w:val="en-US"/>
              </w:rPr>
              <w:t>take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 part </w:t>
            </w:r>
            <w:r w:rsidRPr="7EF5BBDD" w:rsidR="4667FEEB">
              <w:rPr>
                <w:i w:val="1"/>
                <w:iCs w:val="1"/>
                <w:snapToGrid w:val="0"/>
                <w:kern w:val="22"/>
                <w:lang w:val="en-US"/>
              </w:rPr>
              <w:t>in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 </w:t>
            </w:r>
            <w:r w:rsidRPr="7EF5BBDD" w:rsidR="2B07A856">
              <w:rPr>
                <w:i w:val="1"/>
                <w:iCs w:val="1"/>
                <w:snapToGrid w:val="0"/>
                <w:kern w:val="22"/>
                <w:lang w:val="en-US"/>
              </w:rPr>
              <w:t xml:space="preserve">developing or updating 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national targets. 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>The inclusi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>o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>n of non-s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tate actors in the planning, reporting and review processes is </w:t>
            </w:r>
            <w:r w:rsidRPr="7EF5BBDD" w:rsidR="2B07A856">
              <w:rPr>
                <w:i w:val="1"/>
                <w:iCs w:val="1"/>
                <w:snapToGrid w:val="0"/>
                <w:kern w:val="22"/>
                <w:lang w:val="en-US"/>
              </w:rPr>
              <w:t xml:space="preserve">beneficial for governments 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>to ensure an effective and inclusive plan</w:t>
            </w:r>
            <w:r w:rsidRPr="7EF5BBDD" w:rsidR="68AB7FA7">
              <w:rPr>
                <w:i w:val="1"/>
                <w:iCs w:val="1"/>
                <w:snapToGrid w:val="0"/>
                <w:kern w:val="22"/>
                <w:lang w:val="en-US"/>
              </w:rPr>
              <w:t xml:space="preserve"> of action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 </w:t>
            </w:r>
            <w:r w:rsidRPr="7EF5BBDD" w:rsidR="4667FEEB">
              <w:rPr>
                <w:i w:val="1"/>
                <w:iCs w:val="1"/>
                <w:snapToGrid w:val="0"/>
                <w:kern w:val="22"/>
                <w:lang w:val="en-US"/>
              </w:rPr>
              <w:t>in which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 xml:space="preserve"> everyone can </w:t>
            </w:r>
            <w:r w:rsidRPr="7EF5BBDD" w:rsidR="4667FEEB">
              <w:rPr>
                <w:i w:val="1"/>
                <w:iCs w:val="1"/>
                <w:snapToGrid w:val="0"/>
                <w:kern w:val="22"/>
                <w:lang w:val="en-US"/>
              </w:rPr>
              <w:t xml:space="preserve">contribute </w:t>
            </w:r>
            <w:r w:rsidRPr="7EF5BBDD" w:rsidR="68AB7FA7">
              <w:rPr>
                <w:i w:val="1"/>
                <w:iCs w:val="1"/>
                <w:snapToGrid w:val="0"/>
                <w:kern w:val="22"/>
                <w:lang w:val="en-US"/>
              </w:rPr>
              <w:t>for the achievement of its</w:t>
            </w:r>
            <w:r w:rsidRPr="7EF5BBDD" w:rsidR="4667FEEB">
              <w:rPr>
                <w:i w:val="1"/>
                <w:iCs w:val="1"/>
                <w:snapToGrid w:val="0"/>
                <w:kern w:val="22"/>
                <w:lang w:val="en-US"/>
              </w:rPr>
              <w:t xml:space="preserve"> goals</w:t>
            </w:r>
            <w:r w:rsidRPr="7EF5BBDD" w:rsidR="7980596E">
              <w:rPr>
                <w:i w:val="1"/>
                <w:iCs w:val="1"/>
                <w:snapToGrid w:val="0"/>
                <w:kern w:val="22"/>
                <w:lang w:val="en-US"/>
              </w:rPr>
              <w:t>.</w:t>
            </w:r>
          </w:p>
          <w:p w:rsidR="00E00C6D" w:rsidP="009C6DDB" w:rsidRDefault="00E00C6D" w14:paraId="2C2C576A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</w:p>
          <w:p w:rsidR="00816DE9" w:rsidP="00816DE9" w:rsidRDefault="00816DE9" w14:paraId="44CDE4C4" w14:textId="74353D78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Th</w:t>
            </w:r>
            <w:r w:rsidR="00D57D8F">
              <w:rPr>
                <w:bCs/>
                <w:kern w:val="22"/>
                <w:sz w:val="22"/>
                <w:szCs w:val="22"/>
              </w:rPr>
              <w:t>e last column (</w:t>
            </w:r>
            <w:r w:rsidRPr="00D57D8F" w:rsidR="00D57D8F">
              <w:rPr>
                <w:bCs/>
                <w:i/>
                <w:iCs/>
                <w:kern w:val="22"/>
                <w:sz w:val="22"/>
                <w:szCs w:val="22"/>
              </w:rPr>
              <w:t>Notes</w:t>
            </w:r>
            <w:r w:rsidR="00D57D8F">
              <w:rPr>
                <w:bCs/>
                <w:kern w:val="22"/>
                <w:sz w:val="22"/>
                <w:szCs w:val="22"/>
              </w:rPr>
              <w:t>) of this</w:t>
            </w:r>
            <w:r>
              <w:rPr>
                <w:bCs/>
                <w:kern w:val="22"/>
                <w:sz w:val="22"/>
                <w:szCs w:val="22"/>
              </w:rPr>
              <w:t xml:space="preserve"> last section of the template for submission of national targets towards the GBF</w:t>
            </w:r>
            <w:r w:rsidR="00B070C5">
              <w:rPr>
                <w:bCs/>
                <w:kern w:val="22"/>
                <w:sz w:val="22"/>
                <w:szCs w:val="22"/>
              </w:rPr>
              <w:t>:</w:t>
            </w:r>
            <w:r w:rsidR="004C22D3">
              <w:rPr>
                <w:bCs/>
                <w:kern w:val="22"/>
                <w:sz w:val="22"/>
                <w:szCs w:val="22"/>
              </w:rPr>
              <w:t xml:space="preserve"> “</w:t>
            </w:r>
            <w:r w:rsidRPr="004C22D3" w:rsidR="004C22D3">
              <w:rPr>
                <w:bCs/>
                <w:kern w:val="22"/>
                <w:sz w:val="22"/>
                <w:szCs w:val="22"/>
              </w:rPr>
              <w:t>This entry would be only for joint activities involving the national Government and others. This box would be used to</w:t>
            </w:r>
            <w:r w:rsidR="00B070C5">
              <w:rPr>
                <w:bCs/>
                <w:kern w:val="22"/>
                <w:sz w:val="22"/>
                <w:szCs w:val="22"/>
              </w:rPr>
              <w:t xml:space="preserve"> </w:t>
            </w:r>
            <w:r w:rsidRPr="00B070C5" w:rsidR="00B070C5">
              <w:rPr>
                <w:b/>
                <w:kern w:val="22"/>
                <w:sz w:val="22"/>
                <w:szCs w:val="22"/>
              </w:rPr>
              <w:t>avoid</w:t>
            </w:r>
            <w:r w:rsidRPr="004C22D3" w:rsidR="004C22D3">
              <w:rPr>
                <w:bCs/>
                <w:kern w:val="22"/>
                <w:sz w:val="22"/>
                <w:szCs w:val="22"/>
              </w:rPr>
              <w:t xml:space="preserve"> </w:t>
            </w:r>
            <w:r w:rsidRPr="00B070C5" w:rsidR="004C22D3">
              <w:rPr>
                <w:bCs/>
                <w:strike/>
                <w:kern w:val="22"/>
                <w:sz w:val="22"/>
                <w:szCs w:val="22"/>
              </w:rPr>
              <w:t xml:space="preserve">reduce </w:t>
            </w:r>
            <w:r w:rsidRPr="004C22D3" w:rsidR="004C22D3">
              <w:rPr>
                <w:bCs/>
                <w:kern w:val="22"/>
                <w:sz w:val="22"/>
                <w:szCs w:val="22"/>
              </w:rPr>
              <w:t>double counting.</w:t>
            </w:r>
            <w:r w:rsidR="004C22D3">
              <w:rPr>
                <w:bCs/>
                <w:kern w:val="22"/>
                <w:sz w:val="22"/>
                <w:szCs w:val="22"/>
              </w:rPr>
              <w:t>”</w:t>
            </w:r>
          </w:p>
          <w:p w:rsidR="00B070C5" w:rsidP="00816DE9" w:rsidRDefault="00B070C5" w14:paraId="1C1D2819" w14:textId="77777777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</w:p>
          <w:p w:rsidRPr="00EB7321" w:rsidR="00B070C5" w:rsidP="7EF5BBDD" w:rsidRDefault="00D814A6" w14:paraId="56EEFE05" w14:textId="62F3BCA5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7EF5BBDD" w:rsidR="59FCB811">
              <w:rPr>
                <w:kern w:val="22"/>
                <w:sz w:val="22"/>
                <w:szCs w:val="22"/>
              </w:rPr>
              <w:t xml:space="preserve">Justification: </w:t>
            </w:r>
            <w:r w:rsidRPr="7EF5BBDD" w:rsidR="59FCB811">
              <w:rPr>
                <w:i w:val="1"/>
                <w:iCs w:val="1"/>
                <w:kern w:val="22"/>
                <w:sz w:val="22"/>
                <w:szCs w:val="22"/>
              </w:rPr>
              <w:t xml:space="preserve">We support this section </w:t>
            </w:r>
            <w:r w:rsidRPr="7EF5BBDD" w:rsidR="2CC758C9">
              <w:rPr>
                <w:i w:val="1"/>
                <w:iCs w:val="1"/>
                <w:kern w:val="22"/>
                <w:sz w:val="22"/>
                <w:szCs w:val="22"/>
              </w:rPr>
              <w:t xml:space="preserve">for the inclusion of non-state actors in the process. However, strict measures should be </w:t>
            </w:r>
            <w:r w:rsidRPr="7EF5BBDD" w:rsidR="5A339EB5">
              <w:rPr>
                <w:i w:val="1"/>
                <w:iCs w:val="1"/>
                <w:kern w:val="22"/>
                <w:sz w:val="22"/>
                <w:szCs w:val="22"/>
              </w:rPr>
              <w:t xml:space="preserve">put in place to establish a system </w:t>
            </w:r>
            <w:r w:rsidRPr="7EF5BBDD" w:rsidR="2CC758C9">
              <w:rPr>
                <w:i w:val="1"/>
                <w:iCs w:val="1"/>
                <w:kern w:val="22"/>
                <w:sz w:val="22"/>
                <w:szCs w:val="22"/>
              </w:rPr>
              <w:t>t</w:t>
            </w:r>
            <w:r w:rsidRPr="7EF5BBDD" w:rsidR="5A339EB5">
              <w:rPr>
                <w:i w:val="1"/>
                <w:iCs w:val="1"/>
                <w:kern w:val="22"/>
                <w:sz w:val="22"/>
                <w:szCs w:val="22"/>
              </w:rPr>
              <w:t>o</w:t>
            </w:r>
            <w:r w:rsidRPr="7EF5BBDD" w:rsidR="2CC758C9">
              <w:rPr>
                <w:i w:val="1"/>
                <w:iCs w:val="1"/>
                <w:kern w:val="22"/>
                <w:sz w:val="22"/>
                <w:szCs w:val="22"/>
              </w:rPr>
              <w:t xml:space="preserve"> </w:t>
            </w:r>
            <w:r w:rsidRPr="7EF5BBDD" w:rsidR="5A339EB5">
              <w:rPr>
                <w:i w:val="1"/>
                <w:iCs w:val="1"/>
                <w:kern w:val="22"/>
                <w:sz w:val="22"/>
                <w:szCs w:val="22"/>
              </w:rPr>
              <w:t xml:space="preserve">not only reduce, but completely avoid double counting of activities made by </w:t>
            </w:r>
            <w:r w:rsidRPr="7EF5BBDD" w:rsidR="0C628E52">
              <w:rPr>
                <w:i w:val="1"/>
                <w:iCs w:val="1"/>
                <w:kern w:val="22"/>
                <w:sz w:val="22"/>
                <w:szCs w:val="22"/>
              </w:rPr>
              <w:t xml:space="preserve">all governments authorities and non-state actors, </w:t>
            </w:r>
            <w:r w:rsidRPr="7EF5BBDD" w:rsidR="0C628E52">
              <w:rPr>
                <w:i w:val="1"/>
                <w:iCs w:val="1"/>
                <w:kern w:val="22"/>
                <w:sz w:val="22"/>
                <w:szCs w:val="22"/>
              </w:rPr>
              <w:lastRenderedPageBreak/>
              <w:t xml:space="preserve">including business. Effective communication and collaboration throughout the process </w:t>
            </w:r>
            <w:r w:rsidRPr="7EF5BBDD" w:rsidR="2E75663B">
              <w:rPr>
                <w:i w:val="1"/>
                <w:iCs w:val="1"/>
                <w:kern w:val="22"/>
                <w:sz w:val="22"/>
                <w:szCs w:val="22"/>
              </w:rPr>
              <w:t>is essential to avoid double counting.</w:t>
            </w:r>
          </w:p>
          <w:p w:rsidR="00816DE9" w:rsidP="009C6DDB" w:rsidRDefault="00816DE9" w14:paraId="0656A393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  <w:lang w:val="en-US"/>
              </w:rPr>
            </w:pPr>
          </w:p>
          <w:p w:rsidRPr="009C6DDB" w:rsidR="009C6DDB" w:rsidP="00A15B70" w:rsidRDefault="009C6DDB" w14:paraId="09D0FC95" w14:textId="77777777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  <w:lang w:val="en-US"/>
              </w:rPr>
            </w:pPr>
          </w:p>
          <w:p w:rsidRPr="00EB7321" w:rsidR="00802404" w:rsidP="00A15B70" w:rsidRDefault="00802404" w14:paraId="2ECEC149" w14:textId="49192358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</w:tbl>
    <w:p w:rsidR="00A15B70" w:rsidP="00AE7B5B" w:rsidRDefault="00A15B70" w14:paraId="2E50F13C" w14:textId="77777777">
      <w:pPr>
        <w:jc w:val="both"/>
      </w:pPr>
    </w:p>
    <w:sectPr w:rsidR="00A15B70" w:rsidSect="00AE7B5B">
      <w:pgSz w:w="12240" w:h="15840" w:orient="portrait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298C" w:rsidP="00AE7B5B" w:rsidRDefault="0044298C" w14:paraId="4B2ACC64" w14:textId="77777777">
      <w:r>
        <w:separator/>
      </w:r>
    </w:p>
  </w:endnote>
  <w:endnote w:type="continuationSeparator" w:id="0">
    <w:p w:rsidR="0044298C" w:rsidP="00AE7B5B" w:rsidRDefault="0044298C" w14:paraId="65D6FC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298C" w:rsidP="00AE7B5B" w:rsidRDefault="0044298C" w14:paraId="0824718B" w14:textId="77777777">
      <w:r>
        <w:separator/>
      </w:r>
    </w:p>
  </w:footnote>
  <w:footnote w:type="continuationSeparator" w:id="0">
    <w:p w:rsidR="0044298C" w:rsidP="00AE7B5B" w:rsidRDefault="0044298C" w14:paraId="0E1D277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3BFC"/>
    <w:multiLevelType w:val="hybridMultilevel"/>
    <w:tmpl w:val="E174B1A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A"/>
    <w:rsid w:val="000223CA"/>
    <w:rsid w:val="000256D9"/>
    <w:rsid w:val="00026289"/>
    <w:rsid w:val="00043210"/>
    <w:rsid w:val="00070895"/>
    <w:rsid w:val="00073E92"/>
    <w:rsid w:val="00120765"/>
    <w:rsid w:val="00130A14"/>
    <w:rsid w:val="0016656C"/>
    <w:rsid w:val="001A0D3E"/>
    <w:rsid w:val="001A269D"/>
    <w:rsid w:val="001B106E"/>
    <w:rsid w:val="002010B6"/>
    <w:rsid w:val="00223669"/>
    <w:rsid w:val="00236608"/>
    <w:rsid w:val="0025392A"/>
    <w:rsid w:val="00253F13"/>
    <w:rsid w:val="0030074B"/>
    <w:rsid w:val="0033526A"/>
    <w:rsid w:val="003463AE"/>
    <w:rsid w:val="003508A1"/>
    <w:rsid w:val="003B4511"/>
    <w:rsid w:val="003F1167"/>
    <w:rsid w:val="003F1266"/>
    <w:rsid w:val="00414EDF"/>
    <w:rsid w:val="0044298C"/>
    <w:rsid w:val="00472B8D"/>
    <w:rsid w:val="004866A6"/>
    <w:rsid w:val="004C22D3"/>
    <w:rsid w:val="004F7D5E"/>
    <w:rsid w:val="005102EB"/>
    <w:rsid w:val="005114BE"/>
    <w:rsid w:val="0052683F"/>
    <w:rsid w:val="00531D04"/>
    <w:rsid w:val="0053632F"/>
    <w:rsid w:val="005558F7"/>
    <w:rsid w:val="005A4EAC"/>
    <w:rsid w:val="005A624C"/>
    <w:rsid w:val="00636EB3"/>
    <w:rsid w:val="00647F74"/>
    <w:rsid w:val="00651463"/>
    <w:rsid w:val="007019B4"/>
    <w:rsid w:val="00705281"/>
    <w:rsid w:val="00715556"/>
    <w:rsid w:val="00755380"/>
    <w:rsid w:val="00761702"/>
    <w:rsid w:val="00795B50"/>
    <w:rsid w:val="00802404"/>
    <w:rsid w:val="00816DE9"/>
    <w:rsid w:val="00861C97"/>
    <w:rsid w:val="008759AA"/>
    <w:rsid w:val="00893DDC"/>
    <w:rsid w:val="008A2668"/>
    <w:rsid w:val="008A3A9F"/>
    <w:rsid w:val="008A52D0"/>
    <w:rsid w:val="008A6047"/>
    <w:rsid w:val="008E49E2"/>
    <w:rsid w:val="008E7015"/>
    <w:rsid w:val="008F1F95"/>
    <w:rsid w:val="00915053"/>
    <w:rsid w:val="00937E10"/>
    <w:rsid w:val="00962581"/>
    <w:rsid w:val="009715B2"/>
    <w:rsid w:val="009A6B72"/>
    <w:rsid w:val="009C30DA"/>
    <w:rsid w:val="009C6DDB"/>
    <w:rsid w:val="009E39EF"/>
    <w:rsid w:val="009E3D32"/>
    <w:rsid w:val="009F1F87"/>
    <w:rsid w:val="00A079C7"/>
    <w:rsid w:val="00A15B70"/>
    <w:rsid w:val="00A407F7"/>
    <w:rsid w:val="00A53675"/>
    <w:rsid w:val="00A67397"/>
    <w:rsid w:val="00AE7B5B"/>
    <w:rsid w:val="00AF4AD0"/>
    <w:rsid w:val="00B070C5"/>
    <w:rsid w:val="00B460BC"/>
    <w:rsid w:val="00B51493"/>
    <w:rsid w:val="00B662AF"/>
    <w:rsid w:val="00B85627"/>
    <w:rsid w:val="00BB4A4F"/>
    <w:rsid w:val="00BF7C16"/>
    <w:rsid w:val="00CC3E8E"/>
    <w:rsid w:val="00D35466"/>
    <w:rsid w:val="00D57D8F"/>
    <w:rsid w:val="00D63E8B"/>
    <w:rsid w:val="00D814A6"/>
    <w:rsid w:val="00D83DC6"/>
    <w:rsid w:val="00D93CCA"/>
    <w:rsid w:val="00DC44E4"/>
    <w:rsid w:val="00E00C6D"/>
    <w:rsid w:val="00E2476B"/>
    <w:rsid w:val="00E44AF4"/>
    <w:rsid w:val="00E46B86"/>
    <w:rsid w:val="00EA713A"/>
    <w:rsid w:val="00EB7321"/>
    <w:rsid w:val="00F41F5C"/>
    <w:rsid w:val="00F7126E"/>
    <w:rsid w:val="00F97DBC"/>
    <w:rsid w:val="00FA280A"/>
    <w:rsid w:val="00FE4523"/>
    <w:rsid w:val="00FF1E02"/>
    <w:rsid w:val="061460DE"/>
    <w:rsid w:val="0C628E52"/>
    <w:rsid w:val="0E064A66"/>
    <w:rsid w:val="1E8D6682"/>
    <w:rsid w:val="21C50744"/>
    <w:rsid w:val="21C50744"/>
    <w:rsid w:val="24939D3A"/>
    <w:rsid w:val="2B07A856"/>
    <w:rsid w:val="2CC758C9"/>
    <w:rsid w:val="2E75663B"/>
    <w:rsid w:val="441D2C89"/>
    <w:rsid w:val="4667FEEB"/>
    <w:rsid w:val="59FCB811"/>
    <w:rsid w:val="5A339EB5"/>
    <w:rsid w:val="68AB7FA7"/>
    <w:rsid w:val="6E319658"/>
    <w:rsid w:val="76237FE0"/>
    <w:rsid w:val="7980596E"/>
    <w:rsid w:val="7EF5B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4FB3F"/>
  <w15:docId w15:val="{FF3CB444-0F41-4CAE-8F92-332B30C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7B5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styleId="Default" w:customStyle="1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6608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236608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Form" w:customStyle="1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hAnsi="Arial" w:eastAsia="MS Mincho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7B5B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7B5B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30DA"/>
    <w:rPr>
      <w:rFonts w:ascii="Lucida Grande" w:hAnsi="Lucida Grande" w:eastAsia="Times New Roman" w:cs="Lucida Grande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7089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A15B70"/>
    <w:rPr>
      <w:rFonts w:ascii="Times New Roman" w:hAnsi="Times New Roman" w:eastAsia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B7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15B7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B70"/>
    <w:rPr>
      <w:vertAlign w:val="superscript"/>
    </w:rPr>
  </w:style>
  <w:style w:type="character" w:styleId="normaltextrun" w:customStyle="1">
    <w:name w:val="normaltextrun"/>
    <w:basedOn w:val="DefaultParagraphFont"/>
    <w:rsid w:val="0075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B39C7BF8129409E35E1A2BD36FAE3" ma:contentTypeVersion="15" ma:contentTypeDescription="Create a new document." ma:contentTypeScope="" ma:versionID="0788699cf18897a5e41c218f12a269a3">
  <xsd:schema xmlns:xsd="http://www.w3.org/2001/XMLSchema" xmlns:xs="http://www.w3.org/2001/XMLSchema" xmlns:p="http://schemas.microsoft.com/office/2006/metadata/properties" xmlns:ns1="http://schemas.microsoft.com/sharepoint/v3" xmlns:ns2="1a6c3ba5-91af-4e1c-8bc1-bdfde5222f28" xmlns:ns3="47f715d3-37da-4566-bb37-66b229f50751" targetNamespace="http://schemas.microsoft.com/office/2006/metadata/properties" ma:root="true" ma:fieldsID="827f84055decac1a64baa0fa98bd98ee" ns1:_="" ns2:_="" ns3:_="">
    <xsd:import namespace="http://schemas.microsoft.com/sharepoint/v3"/>
    <xsd:import namespace="1a6c3ba5-91af-4e1c-8bc1-bdfde5222f28"/>
    <xsd:import namespace="47f715d3-37da-4566-bb37-66b229f5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3ba5-91af-4e1c-8bc1-bdfde5222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715d3-37da-4566-bb37-66b229f5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D6C98-46EE-46F3-AAE7-26C0C44EF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93580-B408-47DC-BBF2-EE975CC36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4994A-00BC-4613-A506-BE7FA11440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9E2835-E1EC-4A48-B9CC-113D096E9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c3ba5-91af-4e1c-8bc1-bdfde5222f28"/>
    <ds:schemaRef ds:uri="47f715d3-37da-4566-bb37-66b229f5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Noonan Mooney</dc:creator>
  <keywords/>
  <dc:description/>
  <lastModifiedBy>Constanza Torres</lastModifiedBy>
  <revision>69</revision>
  <dcterms:created xsi:type="dcterms:W3CDTF">2022-02-05T22:45:00.0000000Z</dcterms:created>
  <dcterms:modified xsi:type="dcterms:W3CDTF">2022-02-24T17:20:18.3648895Z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0x0101007BAB39C7BF8129409E35E1A2BD36FAE3</vt:lpwstr>
  </property>
</Properties>
</file>